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  <w:b/>
          <w:b/>
        </w:rPr>
      </w:pPr>
      <w:r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-897255</wp:posOffset>
            </wp:positionH>
            <wp:positionV relativeFrom="paragraph">
              <wp:posOffset>4445</wp:posOffset>
            </wp:positionV>
            <wp:extent cx="2776855" cy="1172210"/>
            <wp:effectExtent l="0" t="0" r="0" b="0"/>
            <wp:wrapNone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</w:rPr>
        <w:t>В Арбитражный суд Санкт-Петербурга и Ленинградской области</w:t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191124, Санкт-Петербург, ул. Смольного д.6</w:t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От участника строительства: 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Адрес: _______________________________________________</w:t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3402"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Должник: </w:t>
      </w:r>
      <w:r>
        <w:rPr>
          <w:rFonts w:cs="Times New Roman" w:ascii="Times New Roman" w:hAnsi="Times New Roman"/>
        </w:rPr>
        <w:t>ООО  «Петрострой» (ИНН 7839405032, ОГРН 1097847152260, 188678, ОБЛАСТЬ ЛЕНИНГРАДСКАЯ, РАЙОН ВСЕВОЛОЖСКИЙ, ГОРОД МУРИНО, БУЛЬВАР ПЕТРОВСКИЙ, ДОМ 7, ПОМЕЩЕНИЕ 64-Н)</w:t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Конкурсный управляющий: </w:t>
      </w:r>
      <w:r>
        <w:rPr>
          <w:rFonts w:cs="Times New Roman" w:ascii="Times New Roman" w:hAnsi="Times New Roman"/>
        </w:rPr>
        <w:t>Коробов Константин Викторович ((ИНН 234703169002,  СНИЛС 135-792-031 69), адрес для направления корреспонденции: 191028, г. Санкт-Петербург, а/я 171</w:t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Заинтересованные лица: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/>
        </w:rPr>
      </w:pPr>
      <w:r>
        <w:rPr>
          <w:rFonts w:cs="Times New Roman" w:ascii="Times New Roman" w:hAnsi="Times New Roman"/>
          <w:b/>
          <w:bCs/>
          <w:i w:val="false"/>
          <w:iCs/>
        </w:rPr>
        <w:t xml:space="preserve">ППК «Фонд развития территорий» </w:t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115088, г. Москва, вн.тер.г. Муниципальный округ Южнопортовый, ул Шарикоподшипниковская, д. 5</w:t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/>
        </w:rPr>
      </w:pPr>
      <w:r>
        <w:rPr>
          <w:rFonts w:cs="Times New Roman" w:ascii="Times New Roman" w:hAnsi="Times New Roman"/>
          <w:b/>
          <w:bCs/>
          <w:i w:val="false"/>
          <w:iCs/>
        </w:rPr>
        <w:t>Комитет государственного строительного надзора и государственной экспертизы Ленинградской области</w:t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191124, Санкт-Петербург, пл. Растрелли, д. 2, лит. А</w:t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/>
        </w:rPr>
      </w:pPr>
      <w:r>
        <w:rPr>
          <w:rFonts w:cs="Times New Roman" w:ascii="Times New Roman" w:hAnsi="Times New Roman"/>
          <w:b/>
          <w:bCs/>
          <w:i w:val="false"/>
          <w:iCs/>
        </w:rPr>
        <w:t xml:space="preserve">Прокуратура Ленинградской области </w:t>
      </w:r>
    </w:p>
    <w:p>
      <w:pPr>
        <w:pStyle w:val="Normal"/>
        <w:spacing w:lineRule="auto" w:line="240" w:before="0" w:after="0"/>
        <w:ind w:left="34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194044, Санкт-Петербург, ул. Торжковская, 4</w:t>
      </w:r>
    </w:p>
    <w:p>
      <w:pPr>
        <w:pStyle w:val="Normal"/>
        <w:spacing w:lineRule="auto" w:line="240" w:before="0" w:after="0"/>
        <w:ind w:left="340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20"/>
        <w:ind w:left="2880" w:hanging="0"/>
        <w:contextualSpacing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page">
              <wp:align>center</wp:align>
            </wp:positionH>
            <wp:positionV relativeFrom="paragraph">
              <wp:posOffset>200660</wp:posOffset>
            </wp:positionV>
            <wp:extent cx="7241540" cy="163195"/>
            <wp:effectExtent l="0" t="0" r="0" b="0"/>
            <wp:wrapTight wrapText="bothSides">
              <wp:wrapPolygon edited="0">
                <wp:start x="-15" y="0"/>
                <wp:lineTo x="-15" y="20133"/>
                <wp:lineTo x="21533" y="20133"/>
                <wp:lineTo x="21533" y="0"/>
                <wp:lineTo x="-15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40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120"/>
        <w:ind w:left="7020" w:hanging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дело № А56-12126/2021</w:t>
      </w:r>
    </w:p>
    <w:p>
      <w:pPr>
        <w:pStyle w:val="Normal"/>
        <w:spacing w:lineRule="auto" w:line="240" w:before="0" w:after="120"/>
        <w:ind w:left="7020" w:hanging="0"/>
        <w:contextualSpacing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Отзыв на заявление ППК «Фонд развития территорий» о намерении приобрести права застройщика на земельный участок с находящимися на нем объектом (объектами) незавершенного строительства, неотделимыми улучшениями в случае выплаты возмещений участникам строительства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В Арбитражном суде Санкт-Петербурга и Ленинградской области рассматривается заявление публично-правовой компании «Фонд развития территорий» о намерении приобрести права застройщика на земельный участок с кадастровым номером __________________________________, в том числе с объектами незавершенного строительства на таком участке, прав на проектную документацию, включающую в себя все внесенные в нее изменения в рамках дела о несостоятельности (банкротстве) общества с ограниченной ответственностью «Петрострой».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0" w:firstLine="720"/>
        <w:contextualSpacing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Обстоятельства дела:</w:t>
      </w:r>
    </w:p>
    <w:p>
      <w:pPr>
        <w:pStyle w:val="Normal"/>
        <w:spacing w:lineRule="auto" w:line="240" w:before="0" w:after="120"/>
        <w:ind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Я являюсь участником строительства и кредитором третьей очереди должника, чьи требования, в соответствии с установленной законом очередностью удовлетворения требований, выше чем у ППК «Фонд развития территорий», возражаю в удовлетворении заявления без предоставления мне выплаты возмещения по ст. 13 Федерального закона № 218-ФЗ «О публично-правовой компании Фонд развития территорий…» со стороны Фонда.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___.____._____ года определением Арбитражного суда Санкт-Петербурга и Ленинградской области были включены в реестр участников строительства мои требования о передаче жилого помещения - квартиры, строительный номер ___, общей площадью ____ кв.м,  расположенную на ______этаже в многоквартирном жилом доме №___ по адресу: __________________________________________________________________________________________________________________________________________________________, на земельном участке с кадастровым номером _________________________  в размере исполненных участником строительства обязательств на сумму _____________________ рублей.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*Если требования включены на основании решения конкурсного управляющего: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___.____._____ года, исходя из уведомления конкурсного управляющего Коробова К.В. мои требования о передаче жилого помещения - квартиры, строительный номер ___, общей площадью ____ кв.м,  расположенную на ______этаже в многоквартирном жилом доме №___ по адресу: __________________________________________________________________________________________________________________________________________________________, на земельном участке с кадастровым номером _________________________  были включены в реестр требований участников строительства.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2. Правовая позиция, обосновывающие позицию заявителя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12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 </w:t>
      </w:r>
      <w:r>
        <w:rPr>
          <w:rFonts w:cs="Times New Roman" w:ascii="Times New Roman" w:hAnsi="Times New Roman"/>
          <w:sz w:val="24"/>
          <w:szCs w:val="24"/>
        </w:rPr>
        <w:t>приняти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фондом решения о выплате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гражданам </w:t>
      </w:r>
      <w:r>
        <w:rPr>
          <w:rFonts w:cs="Times New Roman" w:ascii="Times New Roman" w:hAnsi="Times New Roman"/>
          <w:sz w:val="24"/>
          <w:szCs w:val="24"/>
        </w:rPr>
        <w:t>возмещения требования участников трансформируются в денежное (и п. 3 ст. 201.13), а в случае передачи прав застройщика фонду залог на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земельный участок и объект незавершённого строительства </w:t>
      </w:r>
      <w:r>
        <w:rPr>
          <w:rFonts w:cs="Times New Roman" w:ascii="Times New Roman" w:hAnsi="Times New Roman"/>
          <w:sz w:val="24"/>
          <w:szCs w:val="24"/>
        </w:rPr>
        <w:t xml:space="preserve">прекращается (п. 25 ст. 201.15-2-2). 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ем самым </w:t>
      </w:r>
      <w:r>
        <w:rPr>
          <w:rFonts w:cs="Times New Roman" w:ascii="Times New Roman" w:hAnsi="Times New Roman"/>
          <w:sz w:val="24"/>
          <w:szCs w:val="24"/>
        </w:rPr>
        <w:t>передача объекта происходит без обременения в виде обязанности передачи помещений гражданам, имеющи</w:t>
      </w:r>
      <w:r>
        <w:rPr>
          <w:rFonts w:cs="Times New Roman" w:ascii="Times New Roman" w:hAnsi="Times New Roman"/>
          <w:sz w:val="24"/>
          <w:szCs w:val="24"/>
        </w:rPr>
        <w:t xml:space="preserve">м </w:t>
      </w:r>
      <w:r>
        <w:rPr>
          <w:rFonts w:cs="Times New Roman" w:ascii="Times New Roman" w:hAnsi="Times New Roman"/>
          <w:sz w:val="24"/>
          <w:szCs w:val="24"/>
        </w:rPr>
        <w:t>право требования по договору участия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120"/>
        <w:ind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 xml:space="preserve">Как указано в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п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. 3 ст. 201.15-2-2 Закона о банкротстве в качестве встречного представления за передаваемое имущество Фонд осуществляет выплату возмещения участникам строительства в соответствии со </w:t>
      </w:r>
      <w:r>
        <w:fldChar w:fldCharType="begin"/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instrText> HYPERLINK "https://www.consultant.ru/document/cons_doc_LAW_465584/45a2bc7f23392dcb4e85bcac5953521cbce7d406/" \l "dst49"</w:instrTex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  <w:t>статьей 13</w: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 Федерального закона от 29 июля 2017 года N 218-ФЗ «О публично-правовой компании "Фонд развития территорий"». На настоящий момент, я возмещение от ППК «Фонд развития территорий» не получал.</w:t>
      </w:r>
    </w:p>
    <w:p>
      <w:pPr>
        <w:pStyle w:val="Normal"/>
        <w:spacing w:lineRule="auto" w:line="240" w:before="0" w:after="120"/>
        <w:ind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Мои требования, согласно ст. 201.9 Закона о банкротстве подлежат учету в первую очередь третьей очереди. При этом по требованиям Фонда, приобретенным в результате осуществления выплаты возмещения гражданам, расчеты осуществляются во вторую очередь третьей. В связи с чем удовлетворение заявления Фонда о намерении влияет на мои права, так как в нарушении очередности фактически происходит погашение требований Фонд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:lang w:val="ru-RU"/>
          <w14:textFill>
            <w14:solidFill>
              <w14:schemeClr w14:val="tx1"/>
            </w14:solidFill>
          </w14:textFill>
        </w:rPr>
        <w:t>а,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:lang w:val="ru-RU"/>
          <w14:textFill>
            <w14:solidFill>
              <w14:schemeClr w14:val="tx1"/>
            </w14:solidFill>
          </w14:textFill>
        </w:rPr>
        <w:t>путём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 xml:space="preserve"> передачи ему единственного дорогосто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я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щего актива должника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:lang w:val="ru-RU"/>
          <w14:textFill>
            <w14:solidFill>
              <w14:schemeClr w14:val="tx1"/>
            </w14:solidFill>
          </w14:textFill>
        </w:rPr>
        <w:t>, ко всему прочему обеспечивающего исполнение передо мной обязательства в качестве залога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.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виду передачи Фонду земельного участка и объекта незавершенного строительства, Фонд обязан осуществить выплату гражданам-участникам, требования которых включены в реестр требований участников строительства и реестр требований кредиторов в процедуре конкурсного производства. После передачи земельного участка и объекта незавершенного строительства Фонду, погашение требований таких участников строительства невозможно в виду того, что имеется незначительное имущество, которого явно будет недостаточно для удовлетворения указанных требований.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В соответствии с требованиями статьи 201.15-1 Закона о банкротстве</w:t>
        <w:br/>
        <w:t>передача иному застройщику (приобретателю) имущества должника и его обязательств перед участниками строительства производится на возмездной основе, результатом которой является соотношение стоимости прав застройщика на земельный участок с находящимися на нем неотделимыми улучшениями и совокупным размером требований участников строительства должника, включенных в реестр (далее – соотношение встречных предоставлений), с целью разрешения вопроса о наличии оснований для включения требований приобретателя в реестр должника или, напротив, о наличии у приобретателя обязанности перечислить денежные средства в пользу должника.</w:t>
      </w:r>
    </w:p>
    <w:p>
      <w:pPr>
        <w:pStyle w:val="NormalWeb"/>
        <w:shd w:val="clear" w:color="auto" w:fill="FFFFFF"/>
        <w:spacing w:beforeAutospacing="0" w:before="0" w:afterAutospacing="0" w:after="120"/>
        <w:ind w:firstLine="720"/>
        <w:jc w:val="both"/>
        <w:textAlignment w:val="baseline"/>
        <w:rPr>
          <w:rFonts w:eastAsia="Calibri" w:eastAsiaTheme="minorHAnsi"/>
          <w:color w:val="000000" w:themeColor="text1"/>
          <w:highlight w:val="white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 w:eastAsiaTheme="minorHAnsi"/>
          <w:color w:val="000000" w:themeColor="text1"/>
          <w:shd w:fill="FFFFFF" w:val="clear"/>
          <w:lang w:eastAsia="en-US"/>
          <w14:textFill>
            <w14:solidFill>
              <w14:schemeClr w14:val="tx1"/>
            </w14:solidFill>
          </w14:textFill>
        </w:rPr>
        <w:t>В случае возникновения финансовых затруднений, признания организации банкротом и открытия конкурсного производства все имущество в силу статьи 131 Закона о банкротстве образует конкурсную массу должника (помимо того имущества, которое в силу своего статуса и прямого законодательного регулирования подлежит исключению из нее), на получение доли из которой претендуют все его кредиторы, формирующие единое гражданско-правовое сообщество, в интересах которого действует конкурсный управляющий (определения Верховного Суда Российской Федерации: от 20.11.2017 №305- ЭС16-10852(3), от 14.02.2018 №305-ЭС15-3068(3)).</w:t>
      </w:r>
    </w:p>
    <w:p>
      <w:pPr>
        <w:pStyle w:val="NormalWeb"/>
        <w:shd w:val="clear" w:color="auto" w:fill="FFFFFF"/>
        <w:spacing w:beforeAutospacing="0" w:before="0" w:afterAutospacing="0" w:after="120"/>
        <w:ind w:firstLine="720"/>
        <w:jc w:val="both"/>
        <w:textAlignment w:val="baseline"/>
        <w:rPr>
          <w:rFonts w:eastAsia="Calibri" w:eastAsiaTheme="minorHAnsi"/>
          <w:color w:val="000000" w:themeColor="text1"/>
          <w:highlight w:val="white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 w:eastAsiaTheme="minorHAnsi"/>
          <w:color w:val="000000" w:themeColor="text1"/>
          <w:shd w:fill="FFFFFF" w:val="clear"/>
          <w:lang w:eastAsia="en-US"/>
          <w14:textFill>
            <w14:solidFill>
              <w14:schemeClr w14:val="tx1"/>
            </w14:solidFill>
          </w14:textFill>
        </w:rPr>
        <w:t>Все кредиторы объективно объединены наличием у каждого из них требования к несостоятельному должнику. Это обстоятельство определяет их правовой статус в деле о банкротстве и правомерный интерес единого гражданско-правового сообщества, участниками которого они являются: получить соразмерное удовлетворение своих требований с максимальным экономическим эффектом. (статья 2 Закона о банкротстве, Обзор судебной практики Верховного Суда Российской Федерации N 3(2018) от 14.11.2018).</w:t>
      </w:r>
    </w:p>
    <w:p>
      <w:pPr>
        <w:pStyle w:val="NormalWeb"/>
        <w:shd w:val="clear" w:color="auto" w:fill="FFFFFF"/>
        <w:spacing w:beforeAutospacing="0" w:before="0" w:afterAutospacing="0" w:after="120"/>
        <w:ind w:firstLine="720"/>
        <w:jc w:val="both"/>
        <w:textAlignment w:val="baseline"/>
        <w:rPr>
          <w:rFonts w:eastAsia="Calibri" w:eastAsiaTheme="minorHAnsi"/>
          <w:color w:val="000000" w:themeColor="text1"/>
          <w:highlight w:val="white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 w:eastAsiaTheme="minorHAnsi"/>
          <w:color w:val="000000" w:themeColor="text1"/>
          <w:shd w:fill="FFFFFF" w:val="clear"/>
          <w:lang w:eastAsia="en-US"/>
          <w14:textFill>
            <w14:solidFill>
              <w14:schemeClr w14:val="tx1"/>
            </w14:solidFill>
          </w14:textFill>
        </w:rPr>
        <w:t>Гражданами-участниками строительства реализованы возможные способы защиты своих прав. В частности, граждане-участники строительства включены в реестр требований участников строительства должника.</w:t>
      </w:r>
    </w:p>
    <w:p>
      <w:pPr>
        <w:pStyle w:val="NormalWeb"/>
        <w:shd w:val="clear" w:color="auto" w:fill="FFFFFF"/>
        <w:spacing w:beforeAutospacing="0" w:before="0" w:afterAutospacing="0" w:after="120"/>
        <w:ind w:firstLine="720"/>
        <w:jc w:val="both"/>
        <w:textAlignment w:val="baseline"/>
        <w:rPr>
          <w:rFonts w:eastAsia="Calibri"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 w:eastAsiaTheme="minorHAnsi"/>
          <w:color w:val="000000" w:themeColor="text1"/>
          <w:shd w:fill="FFFFFF" w:val="clear"/>
          <w:lang w:eastAsia="en-US"/>
          <w14:textFill>
            <w14:solidFill>
              <w14:schemeClr w14:val="tx1"/>
            </w14:solidFill>
          </w14:textFill>
        </w:rPr>
        <w:t xml:space="preserve">Согласно правовой позиции, изложенной в постановлении Президиума Высшего Арбитражного Суда Российской Федерации от 23.04.2013 №14452/12, основной целью </w:t>
      </w:r>
      <w:r>
        <w:rPr>
          <w:rFonts w:eastAsia="Calibri"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принятия специальных правил о банкротстве застройщиков в Законе о банкротстве является обеспечение приоритетной защиты граждан-участников строительства как непрофессиональных инвесторов.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Федеральным законом от 29.07.2017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(далее - Закон №218-ФЗ), основными задачами Фонда является защита прав и законных интересов граждан-участников долевого строительства, средства которых привлекаются для строительства жилья и финансирования мероприятий по завершению строительства объектов незавершенного строительства.</w:t>
      </w:r>
    </w:p>
    <w:p>
      <w:pPr>
        <w:pStyle w:val="Normal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Выплата Фондом возмещения в соответствии со статьей 13 Закона N218-ФЗ является одним из механизмов достижения указанной цели конкурсного производства должника - застройщика и удовлетворения интереса единого гражданско-правового сообщества кредиторов - граждан - участников строительства как непрофессиональных инвесторов. В случае признания каждого нового требования обоснованным доля удовлетворения требований единого гражданско-правового сообщества, объединяющего других кредиторов, снижается, в связи с чем они объективно заинтересованы, чтобы в реестр включалась только реально существующая задолженность (пункт 16 Обзора судебной практики Верховного Суда Российской Федерации N1(2019) (утв. Президиумом Верховного Суда Российской Федерации 24.04.2019), определение Верховного Суда Российской Федерации от 13.122018 №305-ЭС18-5703(3)). В случае же осуществления Фондом выплаты возмещения участнику строительства в порядке, предусмотренном статьей 13 Закона N 218-ФЗ, доля удовлетворения требований единого гражданско-правового сообщества, объединяющего других кредиторов, увеличивается.</w:t>
      </w:r>
    </w:p>
    <w:p>
      <w:pPr>
        <w:pStyle w:val="Normal"/>
        <w:shd w:val="clear" w:color="auto" w:fill="FFFFFF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рассматриваемом же случае при подаче Фондом заявления о намерении приобрести права застройщика аналогичные положения ст. 201.15-2-2 закона «О банкротстве» не подразумевают, что фонд действует для защиты прав граждан — участников строительства, и не считаются вспомогательными механизмами восстановления прав дольщиков. Это лишь механизм удовлетворения требований фонда к застройщику, возникших в порядке регресса.</w:t>
      </w:r>
    </w:p>
    <w:p>
      <w:pPr>
        <w:pStyle w:val="Normal"/>
        <w:shd w:val="clear" w:color="auto" w:fill="FFFFFF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свою очередь, относительно порядка расчетов по требованиям дольщиков: условием передачи фонду объекта незавершенного строительства безусловно считается погашение требований граждан — участников строительства, связанных с передачей жилого помещения (путем выплаты возмещения). Иное бы входило в противоречие с позициями высших судов, в частности с выявленным конституционно-правовым смыслом предназначения такого рода фондов, состоящего в удовлетворении потребности граждан в жилье и не предусматривающего извлечение фондами экономической выгоды из этой деятельности.</w:t>
      </w:r>
    </w:p>
    <w:p>
      <w:pPr>
        <w:pStyle w:val="Normal"/>
        <w:shd w:val="clear" w:color="auto" w:fill="FFFFFF"/>
        <w:spacing w:lineRule="auto" w:line="240" w:before="0" w:after="120"/>
        <w:ind w:firstLine="72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связи с чем арбитражный суд, рассматривая заявление фонда о намерении стать приобретателем по основаниям ст. 201.15-2-2 № ФЗ-127, должен установить факт погашения требований участников строительства. А при установлении факта непогашения таких требований или неготовности фонда к их погашению — отказать в удовлетворении заявления. Ведь право стать приобретаем не носит безусловный характер, поскольку не пр</w:t>
      </w: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</w:t>
      </w: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следует цели восстановления прав граждан.</w:t>
      </w:r>
    </w:p>
    <w:p>
      <w:pPr>
        <w:pStyle w:val="Normal"/>
        <w:shd w:val="clear" w:color="auto" w:fill="FFFFFF"/>
        <w:spacing w:lineRule="auto" w:line="240" w:before="0"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 основании вышеизложенного, руководствуясь статьями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201.15-2-2, 201.15-1 Закона о банкротстве,</w:t>
      </w:r>
    </w:p>
    <w:p>
      <w:pPr>
        <w:pStyle w:val="Normal"/>
        <w:shd w:val="clear" w:color="auto" w:fill="FFFFFF"/>
        <w:spacing w:lineRule="auto" w:line="240" w:before="0" w:after="120"/>
        <w:ind w:firstLine="72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ПРОШУ: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120"/>
        <w:ind w:left="0" w:firstLine="720"/>
        <w:contextualSpacing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Отказать ППК «Фонд развития территорий» в удовлетворении заявления о намерении приобрести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права застройщика на земельный участок с кадастровым номером __________________________________, в том числе с объектами незавершенного строительства на таком участке, прав на проектную документацию, включающую в себя все внесенные в нее изменения в рамках дела о несостоятельности (банкротстве) общества с ограниченной ответственностью «Петрострой»</w:t>
      </w:r>
    </w:p>
    <w:p>
      <w:pPr>
        <w:pStyle w:val="ListParagraph"/>
        <w:numPr>
          <w:ilvl w:val="0"/>
          <w:numId w:val="2"/>
        </w:numPr>
        <w:ind w:left="-90" w:firstLine="81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В случае удовлетворения заявления о намерении приобрести права застройщика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:lang w:val="ru-RU"/>
          <w14:textFill>
            <w14:solidFill>
              <w14:schemeClr w14:val="tx1"/>
            </w14:solidFill>
          </w14:textFill>
        </w:rPr>
        <w:t xml:space="preserve">, установить в качестве условия передачи прав застройщика,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 xml:space="preserve"> обяза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:lang w:val="ru-RU"/>
          <w14:textFill>
            <w14:solidFill>
              <w14:schemeClr w14:val="tx1"/>
            </w14:solidFill>
          </w14:textFill>
        </w:rPr>
        <w:t>нность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 xml:space="preserve"> ППК «Фонд развития территорий» выплатить участнику строительства _______________________(ФИО) возмещение, предусмотренное </w:t>
      </w:r>
      <w:r>
        <w:fldChar w:fldCharType="begin"/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instrText> HYPERLINK "https://www.consultant.ru/document/cons_doc_LAW_465584/45a2bc7f23392dcb4e85bcac5953521cbce7d406/" \l "dst49"</w:instrTex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  <w:t>статьей 13</w: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 Федерального закона от 29 июля 2017 года N 218-ФЗ «О публично-правовой компании "Фонд развития территорий"».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Приложение: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Копия паспорта участника строительства;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Документ подтверждающий статус участника строительства (выписка из реестра);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Квитанция о направлении отзыва в ППК «Фонд развития территорий»;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Квитанция о направлении отзыва Коробову К.В.;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Квитанция о направлении отзыва в комитет государственного строительного надзора и государственной экспертизы Ленинградской области;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 xml:space="preserve">Квитанция о направлении отзыва в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рокуратуру Ленинградской области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___.___.2024 г.                                       _________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  <w14:textFill>
            <w14:solidFill>
              <w14:schemeClr w14:val="tx1"/>
            </w14:solidFill>
          </w14:textFill>
        </w:rPr>
        <w:t>________/___________________</w:t>
      </w:r>
    </w:p>
    <w:sectPr>
      <w:headerReference w:type="default" r:id="rId4"/>
      <w:footerReference w:type="default" r:id="rId5"/>
      <w:type w:val="nextPage"/>
      <w:pgSz w:w="11906" w:h="16838"/>
      <w:pgMar w:left="1701" w:right="850" w:header="720" w:top="77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left" w:pos="5130" w:leader="none"/>
        <w:tab w:val="right" w:pos="9355" w:leader="none"/>
      </w:tabs>
      <w:rPr/>
    </w:pPr>
    <w:r>
      <w:rPr/>
    </w:r>
  </w:p>
  <w:sdt>
    <w:sdtPr>
      <w:date w:fullDate="2106-02-07T09:28:15Z">
        <w:dateFormat w:val="d.M.yyyy"/>
        <w:lid w:val="ru-RU"/>
        <w:storeMappedDataAs w:val="datetime"/>
        <w:calendar w:val="gregorian"/>
      </w:date>
      <w:id w:val="701667268"/>
      <w:dataBinding w:prefixMappings="xmlns:ns0='http://schemas.microsoft.com/office/2006/coverPageProps' " w:xpath="/ns0:CoverPageProperties[1]/ns0:PublishDate[1]" w:storeItemID="{55AF091B-3C7A-41E3-B477-F2FDAA23CFDA}"/>
      <w:alias w:val="Дата"/>
    </w:sdtPr>
    <w:sdtContent>
      <w:p>
        <w:pPr>
          <w:pStyle w:val="Normal"/>
          <w:rPr>
            <w:color w:val="808080" w:themeColor="text1" w:themeTint="80"/>
            <w:sz w:val="18"/>
            <w:szCs w:val="18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</w:pPr>
        <w:r>
          <w:rPr>
            <w:color w:val="808080" w:themeColor="text1" w:themeTint="80"/>
            <w:sz w:val="18"/>
            <w:szCs w:val="18"/>
            <w:lang w:val="ru-RU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  <w:t xml:space="preserve">                </w:t>
        </w:r>
        <w:r>
          <w:rPr>
            <w:color w:val="808080" w:themeColor="text1" w:themeTint="80"/>
            <w:sz w:val="18"/>
            <w:szCs w:val="18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  <w:t>Образец подготовлен Федеральным центром помощи дольщикам</w:t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6">
              <wp:simplePos x="0" y="0"/>
              <wp:positionH relativeFrom="rightMargin">
                <wp:posOffset>27940</wp:posOffset>
              </wp:positionH>
              <wp:positionV relativeFrom="page">
                <wp:posOffset>213360</wp:posOffset>
              </wp:positionV>
              <wp:extent cx="457835" cy="9030335"/>
              <wp:effectExtent l="0" t="0" r="0" b="0"/>
              <wp:wrapNone/>
              <wp:docPr id="3" name="Группа 4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9029880"/>
                      </a:xfrm>
                    </wpg:grpSpPr>
                    <wps:wsp>
                      <wps:cNvSpPr/>
                      <wps:spPr>
                        <a:xfrm>
                          <a:off x="409680" y="800280"/>
                          <a:ext cx="17280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457200" cy="89571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asciiTheme="minorHAnsi" w:cstheme="minorBidi" w:hAnsiTheme="minorHAnsi"/>
                                <w:color w:val="808080"/>
                                <w:lang w:eastAsia="zh-CN" w:bidi="hi-I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Образец подготовлен Федеральным центром помощи дольщикам</w:t>
                            </w:r>
                          </w:p>
                        </w:txbxContent>
                      </wps:txbx>
                      <wps:bodyPr lIns="137160" rIns="45720" tIns="182880" bIns="91440" anchor="b" vert="vert270" rot="16200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па 42" style="position:absolute;margin-left:2.2pt;margin-top:16.8pt;width:36pt;height:711pt" coordorigin="44,336" coordsize="720,14220">
              <v:rect id="shape_0" ID="Прямоугольник 43" fillcolor="black" stroked="f" style="position:absolute;left:689;top:1596;width:26;height:12959;mso-position-horizontal-relative:page;mso-position-vertical-relative:page">
                <w10:wrap type="none"/>
                <v:fill o:detectmouseclick="t" type="solid" color2="white"/>
                <v:stroke color="#3465a4" weight="12600" joinstyle="miter" endcap="flat"/>
              </v:rect>
              <v:rect id="shape_0" ID="Текстовое поле 44" stroked="f" style="position:absolute;left:44;top:336;width:719;height:14105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2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asciiTheme="minorHAnsi" w:cstheme="minorBidi" w:hAnsiTheme="minorHAnsi"/>
                          <w:color w:val="808080"/>
                          <w:lang w:eastAsia="zh-CN" w:bidi="hi-I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Образец подготовлен Федеральным центром помощи дольщикам</w:t>
                      </w:r>
                    </w:p>
                  </w:txbxContent>
                </v:textbox>
                <w10:wrap type="square"/>
                <v:fill o:detectmouseclick="t" on="false"/>
                <v:stroke color="#3465a4" weight="6480" joinstyle="round" endcap="flat"/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sz w:val="24"/>
        <w:b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autoRedefine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5"/>
    <w:uiPriority w:val="99"/>
    <w:qFormat/>
    <w:rPr/>
  </w:style>
  <w:style w:type="character" w:styleId="Style16" w:customStyle="1">
    <w:name w:val="Нижний колонтитул Знак"/>
    <w:basedOn w:val="DefaultParagraphFont"/>
    <w:link w:val="6"/>
    <w:uiPriority w:val="99"/>
    <w:qFormat/>
    <w:rPr/>
  </w:style>
  <w:style w:type="character" w:styleId="Ghighlight" w:customStyle="1">
    <w:name w:val="g-highlight"/>
    <w:basedOn w:val="DefaultParagraphFont"/>
    <w:uiPriority w:val="0"/>
    <w:qFormat/>
    <w:rPr/>
  </w:style>
  <w:style w:type="character" w:styleId="ListLabel1">
    <w:name w:val="ListLabel 1"/>
    <w:qFormat/>
    <w:rPr>
      <w:rFonts w:ascii="Times New Roman" w:hAnsi="Times New Roman"/>
      <w:b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color w:val="000000" w:themeColor="text1"/>
      <w:sz w:val="24"/>
      <w:szCs w:val="24"/>
      <w:shd w:fill="FFFFFF" w:val="clear"/>
      <w14:textFill>
        <w14:solidFill>
          <w14:schemeClr w14:val="tx1"/>
        </w14:solidFill>
      </w14:textFill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link w:val="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10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overPageProperties xmlns="http://schemas.microsoft.com/office/2006/coverPageProps">
  <PublishDate>Образец подготовлен Федеральным центром помощи дольщикам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84299F90-4A68-461D-98BA-6ED66B1B8B5B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Trio_Office/6.2.8.2$Windows_x86 LibreOffice_project/</Application>
  <Pages>5</Pages>
  <Words>1416</Words>
  <Characters>10987</Characters>
  <CharactersWithSpaces>12416</CharactersWithSpaces>
  <Paragraphs>50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2024-03-13T13:45:00Z</dcterms:created>
  <dc:creator>Никита Титоров</dc:creator>
  <dc:description/>
  <dc:language>ru-RU</dc:language>
  <cp:lastModifiedBy/>
  <dcterms:modified xsi:type="dcterms:W3CDTF">2024-04-26T22:53:38Z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HP</vt:lpwstr>
  </property>
  <property fmtid="{D5CDD505-2E9C-101B-9397-08002B2CF9AE}" pid="3" name="DocSecurity">
    <vt:i4>0</vt:i4>
  </property>
  <property fmtid="{D5CDD505-2E9C-101B-9397-08002B2CF9AE}" pid="4" name="ICV">
    <vt:lpwstr>AC9A4CBFAB544BE18CC82D49626B8023_13</vt:lpwstr>
  </property>
  <property fmtid="{D5CDD505-2E9C-101B-9397-08002B2CF9AE}" pid="5" name="KSOProductBuildVer">
    <vt:lpwstr>1049-12.2.0.16731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